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E5" w:rsidRPr="00575336" w:rsidRDefault="00AF39E5" w:rsidP="00AF39E5">
      <w:pPr>
        <w:jc w:val="right"/>
        <w:rPr>
          <w:color w:val="auto"/>
        </w:rPr>
      </w:pPr>
      <w:bookmarkStart w:id="0" w:name="_GoBack"/>
      <w:r w:rsidRPr="00575336">
        <w:rPr>
          <w:rStyle w:val="s0"/>
          <w:color w:val="auto"/>
        </w:rPr>
        <w:t>Приложение 44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 xml:space="preserve">к </w:t>
      </w:r>
      <w:r w:rsidRPr="00575336">
        <w:rPr>
          <w:color w:val="auto"/>
        </w:rPr>
        <w:t>приказу</w:t>
      </w:r>
      <w:r w:rsidRPr="00575336">
        <w:rPr>
          <w:rStyle w:val="s0"/>
          <w:color w:val="auto"/>
        </w:rPr>
        <w:t xml:space="preserve"> и.о. Министра финансов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Республики Казахстан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от 2 августа 2011 года № 390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 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 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Форма № 402</w:t>
      </w:r>
    </w:p>
    <w:p w:rsidR="00AF39E5" w:rsidRPr="00575336" w:rsidRDefault="00AF39E5" w:rsidP="00AF39E5">
      <w:pPr>
        <w:jc w:val="right"/>
        <w:rPr>
          <w:color w:val="auto"/>
        </w:rPr>
      </w:pPr>
      <w:r w:rsidRPr="00575336">
        <w:rPr>
          <w:rStyle w:val="s0"/>
          <w:color w:val="auto"/>
        </w:rPr>
        <w:t> </w:t>
      </w:r>
    </w:p>
    <w:p w:rsidR="00AF39E5" w:rsidRPr="00575336" w:rsidRDefault="00AF39E5" w:rsidP="00AF39E5">
      <w:pPr>
        <w:jc w:val="center"/>
        <w:rPr>
          <w:color w:val="auto"/>
        </w:rPr>
      </w:pPr>
      <w:r w:rsidRPr="00575336">
        <w:rPr>
          <w:rStyle w:val="s1"/>
          <w:color w:val="auto"/>
        </w:rPr>
        <w:t>Движение спецодежды и других предметов</w:t>
      </w:r>
    </w:p>
    <w:p w:rsidR="00AF39E5" w:rsidRPr="00575336" w:rsidRDefault="00AF39E5" w:rsidP="00AF39E5">
      <w:pPr>
        <w:jc w:val="center"/>
        <w:rPr>
          <w:color w:val="auto"/>
        </w:rPr>
      </w:pPr>
      <w:r w:rsidRPr="00575336">
        <w:rPr>
          <w:rStyle w:val="s1"/>
          <w:color w:val="auto"/>
        </w:rPr>
        <w:t>индивидуального пользования</w:t>
      </w:r>
    </w:p>
    <w:p w:rsidR="00AF39E5" w:rsidRPr="00575336" w:rsidRDefault="00AF39E5" w:rsidP="00AF39E5">
      <w:pPr>
        <w:jc w:val="center"/>
        <w:rPr>
          <w:color w:val="auto"/>
        </w:rPr>
      </w:pPr>
      <w:r w:rsidRPr="00575336">
        <w:rPr>
          <w:rStyle w:val="s1"/>
          <w:color w:val="auto"/>
        </w:rPr>
        <w:t> </w:t>
      </w:r>
    </w:p>
    <w:p w:rsidR="00AF39E5" w:rsidRPr="00575336" w:rsidRDefault="00AF39E5" w:rsidP="00AF39E5">
      <w:pPr>
        <w:rPr>
          <w:color w:val="auto"/>
        </w:rPr>
      </w:pPr>
      <w:r w:rsidRPr="00575336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AF39E5" w:rsidRPr="00575336" w:rsidRDefault="00AF39E5" w:rsidP="00AF39E5">
      <w:pPr>
        <w:rPr>
          <w:color w:val="auto"/>
        </w:rPr>
      </w:pPr>
      <w:r w:rsidRPr="00575336">
        <w:rPr>
          <w:rStyle w:val="s0"/>
          <w:color w:val="auto"/>
        </w:rPr>
        <w:t>      Ф.И.О. материально-ответственного лица</w:t>
      </w:r>
    </w:p>
    <w:p w:rsidR="00AF39E5" w:rsidRPr="00575336" w:rsidRDefault="00AF39E5" w:rsidP="00AF39E5">
      <w:pPr>
        <w:rPr>
          <w:color w:val="auto"/>
        </w:rPr>
      </w:pPr>
      <w:r w:rsidRPr="00575336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871"/>
        <w:gridCol w:w="695"/>
        <w:gridCol w:w="504"/>
        <w:gridCol w:w="870"/>
        <w:gridCol w:w="695"/>
        <w:gridCol w:w="504"/>
        <w:gridCol w:w="870"/>
        <w:gridCol w:w="695"/>
        <w:gridCol w:w="504"/>
        <w:gridCol w:w="870"/>
        <w:gridCol w:w="695"/>
        <w:gridCol w:w="504"/>
        <w:gridCol w:w="504"/>
      </w:tblGrid>
      <w:tr w:rsidR="00575336" w:rsidRPr="00575336" w:rsidTr="003403C7">
        <w:trPr>
          <w:jc w:val="center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№ строки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№ строки</w:t>
            </w:r>
          </w:p>
        </w:tc>
      </w:tr>
      <w:tr w:rsidR="00575336" w:rsidRPr="00575336" w:rsidTr="003403C7">
        <w:trPr>
          <w:trHeight w:val="5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9E5" w:rsidRPr="00575336" w:rsidRDefault="00AF39E5" w:rsidP="003403C7">
            <w:pPr>
              <w:rPr>
                <w:color w:val="aut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дата и номер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мемориального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ордера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количество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сумма, тенге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дата и номер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мемориального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ордера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количество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сумма, тенге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дата и номер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мемориального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ордера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количество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сумма, тенге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дата и номер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мемориального</w:t>
            </w:r>
          </w:p>
          <w:p w:rsidR="00AF39E5" w:rsidRPr="00575336" w:rsidRDefault="00AF39E5" w:rsidP="003403C7">
            <w:pPr>
              <w:jc w:val="center"/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ордера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количество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39E5" w:rsidRPr="00575336" w:rsidRDefault="00AF39E5" w:rsidP="003403C7">
            <w:pPr>
              <w:rPr>
                <w:color w:val="auto"/>
              </w:rPr>
            </w:pPr>
          </w:p>
        </w:tc>
      </w:tr>
      <w:tr w:rsidR="00575336" w:rsidRPr="00575336" w:rsidTr="003403C7">
        <w:trPr>
          <w:trHeight w:val="195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</w:tr>
      <w:tr w:rsidR="00575336" w:rsidRPr="00575336" w:rsidTr="003403C7">
        <w:trPr>
          <w:trHeight w:val="195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</w:tr>
      <w:tr w:rsidR="00575336" w:rsidRPr="00575336" w:rsidTr="003403C7">
        <w:trPr>
          <w:trHeight w:val="195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9E5" w:rsidRPr="00575336" w:rsidRDefault="00AF39E5" w:rsidP="003403C7">
            <w:pPr>
              <w:rPr>
                <w:color w:val="auto"/>
              </w:rPr>
            </w:pPr>
            <w:r w:rsidRPr="00575336">
              <w:rPr>
                <w:rStyle w:val="s0"/>
                <w:color w:val="auto"/>
              </w:rPr>
              <w:t> </w:t>
            </w:r>
          </w:p>
        </w:tc>
      </w:tr>
    </w:tbl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i/>
          <w:iCs/>
          <w:color w:val="auto"/>
        </w:rPr>
        <w:t> 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i/>
          <w:iCs/>
          <w:color w:val="auto"/>
        </w:rPr>
        <w:t>и т.д. до конца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i/>
          <w:iCs/>
          <w:color w:val="auto"/>
        </w:rPr>
        <w:t> 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i/>
          <w:iCs/>
          <w:color w:val="auto"/>
        </w:rPr>
        <w:t>Печать со своим оборотом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i/>
          <w:iCs/>
          <w:color w:val="auto"/>
        </w:rPr>
        <w:t> 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t>Примечание: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t>Форма № 402 применяется для аналитического учета спецодежды и других предметов индивидуального пользования по субсчету 1317 «Спецодежда и другие предметы индивидуального пользования», а также прочих материалов по субсчету 1319 «Прочие материалы» в течение года по наименованиям, количеству, стоимости и материально-ответственным лицам.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t>Форма № 402 является вкладным листом в копии инвентаризационной описи (сличительной ведомости), составленной на последнюю дату проведения инвентаризации этих предметов.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t>Движение спецодежды и других предметов индивидуального пользования, а также прочих материалов в течение года отражается в соответствующих графах вкладных листов с выведением остатков на конец каждого квартала. При применении в аналитическом учете вкладных листов оборотные ведомости не составляются.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t>Записи на вкладном листе По форме № 402 производятся по каждому документу. При этом в свободной части над графами «Дата и номер мемориального ордера», «Количество» и «Сумма» указывается месяц, в котором произошло движение ценностей, и вид операции - «поступило» или «выбыло». Если в одном месяце было два поступления предметов одного наименования и одной стоимости, операции записываются дважды.</w:t>
      </w:r>
    </w:p>
    <w:p w:rsidR="00AF39E5" w:rsidRPr="00575336" w:rsidRDefault="00AF39E5" w:rsidP="00AF39E5">
      <w:pPr>
        <w:ind w:firstLine="400"/>
        <w:jc w:val="both"/>
        <w:rPr>
          <w:color w:val="auto"/>
        </w:rPr>
      </w:pPr>
      <w:r w:rsidRPr="00575336">
        <w:rPr>
          <w:rStyle w:val="s0"/>
          <w:color w:val="auto"/>
        </w:rPr>
        <w:lastRenderedPageBreak/>
        <w:t>В тех случаях, когда в течение года поступают предметы нового наименования, которых не было на 1 января, они записываются в инвентаризационную опись (сличительную ведомость) по форме № 401.</w:t>
      </w:r>
    </w:p>
    <w:bookmarkEnd w:id="0"/>
    <w:p w:rsidR="00A210D5" w:rsidRPr="00575336" w:rsidRDefault="00575336">
      <w:pPr>
        <w:rPr>
          <w:color w:val="auto"/>
        </w:rPr>
      </w:pPr>
    </w:p>
    <w:sectPr w:rsidR="00A210D5" w:rsidRPr="00575336" w:rsidSect="009424C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C"/>
    <w:rsid w:val="00261B3C"/>
    <w:rsid w:val="00276BC9"/>
    <w:rsid w:val="004A4262"/>
    <w:rsid w:val="00575336"/>
    <w:rsid w:val="009424C4"/>
    <w:rsid w:val="00A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9E5"/>
    <w:rPr>
      <w:color w:val="333399"/>
      <w:u w:val="single"/>
    </w:rPr>
  </w:style>
  <w:style w:type="character" w:customStyle="1" w:styleId="s0">
    <w:name w:val="s0"/>
    <w:rsid w:val="00AF39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F39E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9E5"/>
    <w:rPr>
      <w:color w:val="333399"/>
      <w:u w:val="single"/>
    </w:rPr>
  </w:style>
  <w:style w:type="character" w:customStyle="1" w:styleId="s0">
    <w:name w:val="s0"/>
    <w:rsid w:val="00AF39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F39E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koishigariyeva</dc:creator>
  <cp:keywords/>
  <dc:description/>
  <cp:lastModifiedBy>Rustem Tubekbayev</cp:lastModifiedBy>
  <cp:revision>5</cp:revision>
  <dcterms:created xsi:type="dcterms:W3CDTF">2013-05-31T10:27:00Z</dcterms:created>
  <dcterms:modified xsi:type="dcterms:W3CDTF">2015-01-10T06:36:00Z</dcterms:modified>
</cp:coreProperties>
</file>